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49D3F" w14:textId="582DD939" w:rsidR="000307C5" w:rsidRPr="00A35EDF" w:rsidRDefault="00F0456E" w:rsidP="000307C5">
      <w:pPr>
        <w:rPr>
          <w:rFonts w:ascii="ＭＳ 明朝" w:hAnsi="ＭＳ 明朝"/>
        </w:rPr>
      </w:pPr>
      <w:r>
        <w:rPr>
          <w:rFonts w:ascii="ＭＳ 明朝" w:hAnsi="ＭＳ 明朝" w:hint="eastAsia"/>
        </w:rPr>
        <w:t>別紙様式第</w:t>
      </w:r>
      <w:r w:rsidR="00385EB6">
        <w:rPr>
          <w:rFonts w:ascii="ＭＳ 明朝" w:hAnsi="ＭＳ 明朝" w:hint="eastAsia"/>
        </w:rPr>
        <w:t>7</w:t>
      </w:r>
      <w:r w:rsidR="000307C5" w:rsidRPr="00A35EDF">
        <w:rPr>
          <w:rFonts w:ascii="ＭＳ 明朝" w:hAnsi="ＭＳ 明朝" w:hint="eastAsia"/>
        </w:rPr>
        <w:t>号</w:t>
      </w:r>
    </w:p>
    <w:p w14:paraId="15B1469E" w14:textId="77777777" w:rsidR="000307C5" w:rsidRDefault="000307C5" w:rsidP="000307C5">
      <w:pPr>
        <w:jc w:val="center"/>
        <w:rPr>
          <w:rFonts w:eastAsia="ＭＳ Ｐゴシック"/>
          <w:b/>
          <w:sz w:val="24"/>
        </w:rPr>
      </w:pPr>
      <w:r w:rsidRPr="00024A4D">
        <w:rPr>
          <w:rFonts w:eastAsia="ＭＳ Ｐゴシック" w:hint="eastAsia"/>
          <w:b/>
          <w:sz w:val="24"/>
          <w:bdr w:val="single" w:sz="4" w:space="0" w:color="auto"/>
        </w:rPr>
        <w:t>環境と調和のとれた農業生産活動規範　点検シート　　（家畜の飼養・生産）</w:t>
      </w:r>
    </w:p>
    <w:p w14:paraId="4CEECEE0" w14:textId="77777777" w:rsidR="000307C5" w:rsidRDefault="000307C5" w:rsidP="000307C5">
      <w:pPr>
        <w:rPr>
          <w:rFonts w:eastAsia="ＭＳ Ｐゴシック"/>
          <w:sz w:val="16"/>
          <w:szCs w:val="16"/>
        </w:rPr>
      </w:pPr>
    </w:p>
    <w:p w14:paraId="0083390D" w14:textId="77777777" w:rsidR="000307C5" w:rsidRDefault="000307C5" w:rsidP="000307C5">
      <w:pPr>
        <w:jc w:val="center"/>
        <w:rPr>
          <w:rFonts w:eastAsia="ＭＳ Ｐゴシック"/>
          <w:b/>
        </w:rPr>
      </w:pPr>
      <w:r>
        <w:rPr>
          <w:rFonts w:eastAsia="ＭＳ Ｐゴシック" w:hint="eastAsia"/>
          <w:b/>
        </w:rPr>
        <w:t>【点検の方法】</w:t>
      </w:r>
    </w:p>
    <w:p w14:paraId="45305AC0" w14:textId="77777777" w:rsidR="000307C5" w:rsidRDefault="000307C5" w:rsidP="000307C5">
      <w:pPr>
        <w:rPr>
          <w:rFonts w:eastAsia="ＭＳ Ｐゴシック"/>
          <w:sz w:val="16"/>
          <w:szCs w:val="16"/>
        </w:rPr>
      </w:pPr>
    </w:p>
    <w:p w14:paraId="6B1645F9" w14:textId="77777777" w:rsidR="000307C5" w:rsidRDefault="000307C5" w:rsidP="000307C5">
      <w:pPr>
        <w:numPr>
          <w:ilvl w:val="0"/>
          <w:numId w:val="2"/>
        </w:numPr>
        <w:rPr>
          <w:sz w:val="18"/>
          <w:szCs w:val="18"/>
        </w:rPr>
      </w:pPr>
      <w:r>
        <w:rPr>
          <w:rFonts w:hint="eastAsia"/>
          <w:sz w:val="18"/>
          <w:szCs w:val="18"/>
        </w:rPr>
        <w:t>毎年、各項目について、過去一年間の実行状況を点検します。</w:t>
      </w:r>
    </w:p>
    <w:p w14:paraId="50875F09" w14:textId="77777777" w:rsidR="000307C5" w:rsidRDefault="000307C5" w:rsidP="000307C5">
      <w:pPr>
        <w:numPr>
          <w:ilvl w:val="0"/>
          <w:numId w:val="2"/>
        </w:numPr>
        <w:rPr>
          <w:sz w:val="18"/>
          <w:szCs w:val="18"/>
        </w:rPr>
      </w:pPr>
      <w:r>
        <w:rPr>
          <w:rFonts w:hint="eastAsia"/>
          <w:sz w:val="18"/>
          <w:szCs w:val="18"/>
        </w:rPr>
        <w:t>点検は、農業経営全体の状況について行います。（例えば、家畜ごとに点検する必要はありません。）</w:t>
      </w:r>
    </w:p>
    <w:p w14:paraId="7455C697" w14:textId="77777777" w:rsidR="000307C5" w:rsidRDefault="000307C5" w:rsidP="000307C5">
      <w:pPr>
        <w:numPr>
          <w:ilvl w:val="0"/>
          <w:numId w:val="2"/>
        </w:numPr>
        <w:rPr>
          <w:sz w:val="18"/>
          <w:szCs w:val="18"/>
        </w:rPr>
      </w:pPr>
      <w:r>
        <w:rPr>
          <w:rFonts w:hint="eastAsia"/>
          <w:sz w:val="18"/>
          <w:szCs w:val="18"/>
        </w:rPr>
        <w:t>点検は、次ページの「取組</w:t>
      </w:r>
      <w:r>
        <w:rPr>
          <w:rFonts w:hint="eastAsia"/>
          <w:sz w:val="18"/>
          <w:szCs w:val="18"/>
        </w:rPr>
        <w:t>(</w:t>
      </w:r>
      <w:r>
        <w:rPr>
          <w:rFonts w:hint="eastAsia"/>
          <w:sz w:val="18"/>
          <w:szCs w:val="18"/>
        </w:rPr>
        <w:t>例</w:t>
      </w:r>
      <w:r>
        <w:rPr>
          <w:rFonts w:hint="eastAsia"/>
          <w:sz w:val="18"/>
          <w:szCs w:val="18"/>
        </w:rPr>
        <w:t>)</w:t>
      </w:r>
      <w:r>
        <w:rPr>
          <w:rFonts w:hint="eastAsia"/>
          <w:sz w:val="18"/>
          <w:szCs w:val="18"/>
        </w:rPr>
        <w:t>」を参考に</w:t>
      </w:r>
      <w:r w:rsidR="006C4AAA" w:rsidRPr="00753545">
        <w:rPr>
          <w:rFonts w:hint="eastAsia"/>
          <w:sz w:val="18"/>
          <w:szCs w:val="18"/>
        </w:rPr>
        <w:t>農業者</w:t>
      </w:r>
      <w:r>
        <w:rPr>
          <w:rFonts w:hint="eastAsia"/>
          <w:sz w:val="18"/>
          <w:szCs w:val="18"/>
        </w:rPr>
        <w:t>自らが行い、実行できていると判断する場合には、チェック欄にレ印か○印を付します。</w:t>
      </w:r>
    </w:p>
    <w:p w14:paraId="19B08565" w14:textId="77777777" w:rsidR="000307C5" w:rsidRDefault="006C4AAA" w:rsidP="000307C5">
      <w:pPr>
        <w:numPr>
          <w:ilvl w:val="0"/>
          <w:numId w:val="2"/>
        </w:numPr>
        <w:rPr>
          <w:sz w:val="18"/>
          <w:szCs w:val="18"/>
        </w:rPr>
      </w:pPr>
      <w:r>
        <w:rPr>
          <w:rFonts w:hint="eastAsia"/>
          <w:sz w:val="18"/>
          <w:szCs w:val="18"/>
        </w:rPr>
        <w:t>該当がない項目や実行できない項目がある場合</w:t>
      </w:r>
      <w:r w:rsidR="000307C5">
        <w:rPr>
          <w:rFonts w:hint="eastAsia"/>
          <w:sz w:val="18"/>
          <w:szCs w:val="18"/>
        </w:rPr>
        <w:t>は、チェック欄には印を付けず、その項目ごとに下欄にその理由、改善の予定などを記入します。</w:t>
      </w:r>
    </w:p>
    <w:p w14:paraId="23FA34F5" w14:textId="77777777" w:rsidR="000307C5" w:rsidRDefault="00300969" w:rsidP="000307C5">
      <w:pPr>
        <w:numPr>
          <w:ilvl w:val="0"/>
          <w:numId w:val="2"/>
        </w:numPr>
        <w:rPr>
          <w:sz w:val="18"/>
          <w:szCs w:val="18"/>
        </w:rPr>
      </w:pPr>
      <w:r>
        <w:rPr>
          <w:noProof/>
          <w:sz w:val="18"/>
          <w:szCs w:val="18"/>
        </w:rPr>
        <w:pict w14:anchorId="71ADFFBC">
          <v:rect id="_x0000_s1043" style="position:absolute;left:0;text-align:left;margin-left:412.2pt;margin-top:9.8pt;width:54.75pt;height:13.8pt;z-index:251660288" stroked="f">
            <v:textbox inset="5.85pt,.7pt,5.85pt,.7pt">
              <w:txbxContent>
                <w:p w14:paraId="58CFE3E7" w14:textId="77777777" w:rsidR="00597176" w:rsidRDefault="00597176" w:rsidP="000307C5">
                  <w:pP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チェック欄</w:t>
                  </w:r>
                </w:p>
              </w:txbxContent>
            </v:textbox>
          </v:rect>
        </w:pict>
      </w:r>
      <w:r w:rsidR="000307C5">
        <w:rPr>
          <w:rFonts w:hint="eastAsia"/>
          <w:sz w:val="18"/>
          <w:szCs w:val="18"/>
        </w:rPr>
        <w:t>作成した点検シートは、次回の点検まで保存します。</w:t>
      </w:r>
    </w:p>
    <w:tbl>
      <w:tblPr>
        <w:tblpPr w:leftFromText="142" w:rightFromText="142" w:vertAnchor="text" w:horzAnchor="page" w:tblpX="1153"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8"/>
      </w:tblGrid>
      <w:tr w:rsidR="000307C5" w14:paraId="16D92885" w14:textId="77777777" w:rsidTr="000307C5">
        <w:tc>
          <w:tcPr>
            <w:tcW w:w="8408" w:type="dxa"/>
            <w:tcBorders>
              <w:bottom w:val="nil"/>
            </w:tcBorders>
          </w:tcPr>
          <w:p w14:paraId="50CE567F" w14:textId="77777777" w:rsidR="000307C5" w:rsidRDefault="000307C5" w:rsidP="000307C5">
            <w:pPr>
              <w:rPr>
                <w:rFonts w:ascii="ＭＳ ゴシック" w:eastAsia="ＭＳ ゴシック" w:hAnsi="ＭＳ ゴシック"/>
                <w:sz w:val="16"/>
                <w:szCs w:val="16"/>
              </w:rPr>
            </w:pPr>
          </w:p>
        </w:tc>
      </w:tr>
      <w:tr w:rsidR="000307C5" w14:paraId="6BCB61B2" w14:textId="77777777" w:rsidTr="000307C5">
        <w:tc>
          <w:tcPr>
            <w:tcW w:w="8408" w:type="dxa"/>
            <w:tcBorders>
              <w:top w:val="nil"/>
              <w:bottom w:val="nil"/>
            </w:tcBorders>
          </w:tcPr>
          <w:p w14:paraId="23F43CC0"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１　家畜排せつ物法の遵守</w:t>
            </w:r>
          </w:p>
        </w:tc>
      </w:tr>
      <w:tr w:rsidR="000307C5" w14:paraId="0354E805" w14:textId="77777777" w:rsidTr="000307C5">
        <w:tc>
          <w:tcPr>
            <w:tcW w:w="8408" w:type="dxa"/>
            <w:tcBorders>
              <w:top w:val="nil"/>
              <w:bottom w:val="nil"/>
            </w:tcBorders>
          </w:tcPr>
          <w:p w14:paraId="746FE298"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家畜排せつ物の管理の適正化による大気、水等の環境保全や、家畜排せつ物の利用の促進による</w:t>
            </w:r>
          </w:p>
        </w:tc>
      </w:tr>
      <w:tr w:rsidR="000307C5" w14:paraId="51B18CEC" w14:textId="77777777" w:rsidTr="000307C5">
        <w:tc>
          <w:tcPr>
            <w:tcW w:w="8408" w:type="dxa"/>
            <w:tcBorders>
              <w:top w:val="nil"/>
              <w:bottom w:val="nil"/>
            </w:tcBorders>
          </w:tcPr>
          <w:p w14:paraId="6B55B299"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環境型社会形成への貢献を通じ、健全な畜産業の発展に資することを目的として、家畜排せつ物の</w:t>
            </w:r>
          </w:p>
        </w:tc>
      </w:tr>
      <w:tr w:rsidR="000307C5" w14:paraId="50DE7CB6" w14:textId="77777777" w:rsidTr="000307C5">
        <w:trPr>
          <w:trHeight w:val="133"/>
        </w:trPr>
        <w:tc>
          <w:tcPr>
            <w:tcW w:w="8408" w:type="dxa"/>
            <w:tcBorders>
              <w:top w:val="nil"/>
            </w:tcBorders>
          </w:tcPr>
          <w:p w14:paraId="23781586"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管理の適正化及び利用の促進に関する法律（家畜排せつ物法）を遵守する。</w:t>
            </w:r>
          </w:p>
        </w:tc>
      </w:tr>
      <w:tr w:rsidR="000307C5" w14:paraId="32B99ABF" w14:textId="77777777" w:rsidTr="000307C5">
        <w:tc>
          <w:tcPr>
            <w:tcW w:w="8408" w:type="dxa"/>
            <w:tcBorders>
              <w:top w:val="single" w:sz="4" w:space="0" w:color="auto"/>
              <w:bottom w:val="nil"/>
            </w:tcBorders>
          </w:tcPr>
          <w:p w14:paraId="02633374" w14:textId="77777777" w:rsidR="000307C5" w:rsidRDefault="000307C5" w:rsidP="000307C5">
            <w:pPr>
              <w:rPr>
                <w:rFonts w:ascii="ＭＳ ゴシック" w:eastAsia="ＭＳ ゴシック" w:hAnsi="ＭＳ ゴシック"/>
                <w:sz w:val="16"/>
                <w:szCs w:val="16"/>
              </w:rPr>
            </w:pPr>
          </w:p>
        </w:tc>
      </w:tr>
      <w:tr w:rsidR="000307C5" w14:paraId="5D32EAAA" w14:textId="77777777" w:rsidTr="000307C5">
        <w:tc>
          <w:tcPr>
            <w:tcW w:w="8408" w:type="dxa"/>
            <w:tcBorders>
              <w:top w:val="nil"/>
              <w:bottom w:val="nil"/>
            </w:tcBorders>
          </w:tcPr>
          <w:p w14:paraId="15724E4F"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２　悪臭・害虫の発生を防止・低減する取組の励行</w:t>
            </w:r>
          </w:p>
        </w:tc>
      </w:tr>
      <w:tr w:rsidR="000307C5" w14:paraId="035CB1E7" w14:textId="77777777" w:rsidTr="000307C5">
        <w:tc>
          <w:tcPr>
            <w:tcW w:w="8408" w:type="dxa"/>
            <w:tcBorders>
              <w:top w:val="nil"/>
              <w:bottom w:val="nil"/>
            </w:tcBorders>
          </w:tcPr>
          <w:p w14:paraId="05615DEB"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家畜の飼養・生産に伴う悪臭、害虫の発生は、主として畜舎における家畜の飼養過程や家畜排せつ</w:t>
            </w:r>
          </w:p>
        </w:tc>
      </w:tr>
      <w:tr w:rsidR="000307C5" w14:paraId="23253619" w14:textId="77777777" w:rsidTr="000307C5">
        <w:tc>
          <w:tcPr>
            <w:tcW w:w="8408" w:type="dxa"/>
            <w:tcBorders>
              <w:top w:val="nil"/>
              <w:bottom w:val="nil"/>
            </w:tcBorders>
          </w:tcPr>
          <w:p w14:paraId="1621A0DF"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物の処理・保管過程に起因し、畜産経営への苦情発生要因の中の多くを占めることから、その防止・</w:t>
            </w:r>
          </w:p>
        </w:tc>
      </w:tr>
      <w:tr w:rsidR="000307C5" w14:paraId="3EA99244" w14:textId="77777777" w:rsidTr="000307C5">
        <w:tc>
          <w:tcPr>
            <w:tcW w:w="8408" w:type="dxa"/>
            <w:tcBorders>
              <w:top w:val="nil"/>
              <w:bottom w:val="nil"/>
            </w:tcBorders>
          </w:tcPr>
          <w:p w14:paraId="65992191"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低減に資するため、畜舎からのふん尿の早期搬出や施設内外の清掃など、家畜の飼養・生産に伴う</w:t>
            </w:r>
          </w:p>
        </w:tc>
      </w:tr>
      <w:tr w:rsidR="000307C5" w14:paraId="2DA2646C" w14:textId="77777777" w:rsidTr="000307C5">
        <w:trPr>
          <w:trHeight w:val="118"/>
        </w:trPr>
        <w:tc>
          <w:tcPr>
            <w:tcW w:w="8408" w:type="dxa"/>
            <w:tcBorders>
              <w:top w:val="nil"/>
            </w:tcBorders>
          </w:tcPr>
          <w:p w14:paraId="0A5D0556"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悪臭、害虫の発生を防止・低減する取組を励行する。</w:t>
            </w:r>
          </w:p>
        </w:tc>
      </w:tr>
      <w:tr w:rsidR="000307C5" w14:paraId="1718A128" w14:textId="77777777" w:rsidTr="000307C5">
        <w:tc>
          <w:tcPr>
            <w:tcW w:w="8408" w:type="dxa"/>
            <w:tcBorders>
              <w:bottom w:val="nil"/>
            </w:tcBorders>
          </w:tcPr>
          <w:p w14:paraId="49F35535" w14:textId="77777777" w:rsidR="000307C5" w:rsidRDefault="000307C5" w:rsidP="000307C5">
            <w:pPr>
              <w:rPr>
                <w:rFonts w:ascii="ＭＳ ゴシック" w:eastAsia="ＭＳ ゴシック" w:hAnsi="ＭＳ ゴシック"/>
                <w:sz w:val="16"/>
                <w:szCs w:val="16"/>
              </w:rPr>
            </w:pPr>
          </w:p>
        </w:tc>
      </w:tr>
      <w:tr w:rsidR="000307C5" w14:paraId="2900FFAF" w14:textId="77777777" w:rsidTr="000307C5">
        <w:tc>
          <w:tcPr>
            <w:tcW w:w="8408" w:type="dxa"/>
            <w:tcBorders>
              <w:top w:val="nil"/>
              <w:bottom w:val="nil"/>
            </w:tcBorders>
          </w:tcPr>
          <w:p w14:paraId="26EB3946"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３　家畜排せつ物の利活用の推進</w:t>
            </w:r>
          </w:p>
        </w:tc>
      </w:tr>
      <w:tr w:rsidR="000307C5" w14:paraId="6FFBA26A" w14:textId="77777777" w:rsidTr="000307C5">
        <w:tc>
          <w:tcPr>
            <w:tcW w:w="8408" w:type="dxa"/>
            <w:tcBorders>
              <w:top w:val="nil"/>
              <w:bottom w:val="nil"/>
            </w:tcBorders>
          </w:tcPr>
          <w:p w14:paraId="265D9A78" w14:textId="77777777" w:rsidR="000307C5" w:rsidRDefault="000307C5" w:rsidP="000307C5">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循環型社会の形成や農業の自然循環機能の促進に資するため、家畜排せつ物のたい肥化、液肥化ま</w:t>
            </w:r>
          </w:p>
        </w:tc>
      </w:tr>
      <w:tr w:rsidR="000307C5" w14:paraId="4FB1C00A" w14:textId="77777777" w:rsidTr="000307C5">
        <w:tc>
          <w:tcPr>
            <w:tcW w:w="8408" w:type="dxa"/>
            <w:tcBorders>
              <w:top w:val="nil"/>
              <w:bottom w:val="nil"/>
            </w:tcBorders>
          </w:tcPr>
          <w:p w14:paraId="2392BEE3"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たはスラリー処理等を行い、作物生産等への利用の推進に努める。ただし、作物生産等への利用</w:t>
            </w:r>
          </w:p>
        </w:tc>
      </w:tr>
      <w:tr w:rsidR="000307C5" w14:paraId="1D20310A" w14:textId="77777777" w:rsidTr="000307C5">
        <w:tc>
          <w:tcPr>
            <w:tcW w:w="8408" w:type="dxa"/>
            <w:tcBorders>
              <w:top w:val="nil"/>
              <w:bottom w:val="nil"/>
            </w:tcBorders>
          </w:tcPr>
          <w:p w14:paraId="71211499"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が困難な場合又はより適切な処理・利用方法がある場合には、炭化、焼却、汚水浄化、委託処分等</w:t>
            </w:r>
          </w:p>
        </w:tc>
      </w:tr>
      <w:tr w:rsidR="000307C5" w14:paraId="3C16C5A8" w14:textId="77777777" w:rsidTr="000307C5">
        <w:tc>
          <w:tcPr>
            <w:tcW w:w="8408" w:type="dxa"/>
            <w:tcBorders>
              <w:top w:val="nil"/>
              <w:bottom w:val="nil"/>
            </w:tcBorders>
          </w:tcPr>
          <w:p w14:paraId="7705FF0E"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の適切な方法による処理等に努める。また、地域的条件等に応じ可能な場合についてはメタン発酵</w:t>
            </w:r>
          </w:p>
        </w:tc>
      </w:tr>
      <w:tr w:rsidR="000307C5" w14:paraId="1248B950" w14:textId="77777777" w:rsidTr="000307C5">
        <w:trPr>
          <w:trHeight w:val="239"/>
        </w:trPr>
        <w:tc>
          <w:tcPr>
            <w:tcW w:w="8408" w:type="dxa"/>
            <w:tcBorders>
              <w:top w:val="nil"/>
            </w:tcBorders>
          </w:tcPr>
          <w:p w14:paraId="50A98463"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等によるエネルギー利用に努める。</w:t>
            </w:r>
          </w:p>
        </w:tc>
      </w:tr>
      <w:tr w:rsidR="000307C5" w14:paraId="2F6EF63D" w14:textId="77777777" w:rsidTr="000307C5">
        <w:tc>
          <w:tcPr>
            <w:tcW w:w="8408" w:type="dxa"/>
            <w:tcBorders>
              <w:bottom w:val="nil"/>
            </w:tcBorders>
          </w:tcPr>
          <w:p w14:paraId="0AF9E265" w14:textId="77777777" w:rsidR="000307C5" w:rsidRDefault="000307C5" w:rsidP="000307C5">
            <w:pPr>
              <w:rPr>
                <w:rFonts w:ascii="ＭＳ ゴシック" w:eastAsia="ＭＳ ゴシック" w:hAnsi="ＭＳ ゴシック"/>
                <w:sz w:val="16"/>
                <w:szCs w:val="16"/>
              </w:rPr>
            </w:pPr>
          </w:p>
        </w:tc>
      </w:tr>
      <w:tr w:rsidR="000307C5" w14:paraId="669B5EC7" w14:textId="77777777" w:rsidTr="000307C5">
        <w:tc>
          <w:tcPr>
            <w:tcW w:w="8408" w:type="dxa"/>
            <w:tcBorders>
              <w:top w:val="nil"/>
              <w:bottom w:val="nil"/>
            </w:tcBorders>
          </w:tcPr>
          <w:p w14:paraId="4EE948D1"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４　環境関連法令への適切な対応</w:t>
            </w:r>
          </w:p>
        </w:tc>
      </w:tr>
      <w:tr w:rsidR="000307C5" w14:paraId="384BD3B1" w14:textId="77777777" w:rsidTr="000307C5">
        <w:tc>
          <w:tcPr>
            <w:tcW w:w="8408" w:type="dxa"/>
            <w:tcBorders>
              <w:top w:val="nil"/>
              <w:bottom w:val="nil"/>
            </w:tcBorders>
          </w:tcPr>
          <w:p w14:paraId="718FE4DD"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環境型社会の形成や大気、水等の環境の保全に資するため、使用済みプラスチック等の廃棄物、</w:t>
            </w:r>
          </w:p>
        </w:tc>
      </w:tr>
      <w:tr w:rsidR="000307C5" w14:paraId="6CB338F4" w14:textId="77777777" w:rsidTr="000307C5">
        <w:tc>
          <w:tcPr>
            <w:tcW w:w="8408" w:type="dxa"/>
            <w:tcBorders>
              <w:top w:val="nil"/>
              <w:bottom w:val="nil"/>
            </w:tcBorders>
          </w:tcPr>
          <w:p w14:paraId="50050C3C"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臭気及び排水等の経営体外への排出等に際して、関連する環境法令に応じた処分等に努めるなど</w:t>
            </w:r>
          </w:p>
        </w:tc>
      </w:tr>
      <w:tr w:rsidR="000307C5" w14:paraId="46CBCD2B" w14:textId="77777777" w:rsidTr="000307C5">
        <w:trPr>
          <w:trHeight w:val="267"/>
        </w:trPr>
        <w:tc>
          <w:tcPr>
            <w:tcW w:w="8408" w:type="dxa"/>
            <w:tcBorders>
              <w:top w:val="nil"/>
            </w:tcBorders>
          </w:tcPr>
          <w:p w14:paraId="329CDCB5"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適切に対応する。</w:t>
            </w:r>
          </w:p>
        </w:tc>
      </w:tr>
      <w:tr w:rsidR="000307C5" w14:paraId="4B2A30DC" w14:textId="77777777" w:rsidTr="000307C5">
        <w:tc>
          <w:tcPr>
            <w:tcW w:w="8408" w:type="dxa"/>
            <w:tcBorders>
              <w:bottom w:val="nil"/>
            </w:tcBorders>
          </w:tcPr>
          <w:p w14:paraId="138AB40E" w14:textId="77777777" w:rsidR="000307C5" w:rsidRDefault="000307C5" w:rsidP="000307C5">
            <w:pPr>
              <w:rPr>
                <w:rFonts w:ascii="ＭＳ ゴシック" w:eastAsia="ＭＳ ゴシック" w:hAnsi="ＭＳ ゴシック"/>
                <w:sz w:val="16"/>
                <w:szCs w:val="16"/>
              </w:rPr>
            </w:pPr>
          </w:p>
        </w:tc>
      </w:tr>
      <w:tr w:rsidR="000307C5" w14:paraId="4458A580" w14:textId="77777777" w:rsidTr="000307C5">
        <w:tc>
          <w:tcPr>
            <w:tcW w:w="8408" w:type="dxa"/>
            <w:tcBorders>
              <w:top w:val="nil"/>
              <w:bottom w:val="nil"/>
            </w:tcBorders>
          </w:tcPr>
          <w:p w14:paraId="2CA15578"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５　エネルギーの節減</w:t>
            </w:r>
          </w:p>
        </w:tc>
      </w:tr>
      <w:tr w:rsidR="000307C5" w14:paraId="6BD341BC" w14:textId="77777777" w:rsidTr="000307C5">
        <w:tc>
          <w:tcPr>
            <w:tcW w:w="8408" w:type="dxa"/>
            <w:tcBorders>
              <w:top w:val="nil"/>
              <w:bottom w:val="nil"/>
            </w:tcBorders>
          </w:tcPr>
          <w:p w14:paraId="17D1EF3A"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温室効果ガスである二酸化炭素の排出抑制や資源の有効利用等に資するため、畜舎内の照明、温</w:t>
            </w:r>
          </w:p>
        </w:tc>
      </w:tr>
      <w:tr w:rsidR="000307C5" w14:paraId="3189C714" w14:textId="77777777" w:rsidTr="000307C5">
        <w:tc>
          <w:tcPr>
            <w:tcW w:w="8408" w:type="dxa"/>
            <w:tcBorders>
              <w:top w:val="nil"/>
              <w:bottom w:val="nil"/>
            </w:tcBorders>
          </w:tcPr>
          <w:p w14:paraId="228DB5F2"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度管理など施設・機械等の使用や導入に際して、不必要・非効率的なエネルギー消費がないよう</w:t>
            </w:r>
          </w:p>
        </w:tc>
      </w:tr>
      <w:tr w:rsidR="000307C5" w14:paraId="5C9D39F5" w14:textId="77777777" w:rsidTr="000307C5">
        <w:trPr>
          <w:trHeight w:val="129"/>
        </w:trPr>
        <w:tc>
          <w:tcPr>
            <w:tcW w:w="8408" w:type="dxa"/>
            <w:tcBorders>
              <w:top w:val="nil"/>
            </w:tcBorders>
          </w:tcPr>
          <w:p w14:paraId="0DA70CA8"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努める。</w:t>
            </w:r>
          </w:p>
        </w:tc>
      </w:tr>
      <w:tr w:rsidR="000307C5" w14:paraId="2C98F8AA" w14:textId="77777777" w:rsidTr="000307C5">
        <w:tc>
          <w:tcPr>
            <w:tcW w:w="8408" w:type="dxa"/>
            <w:tcBorders>
              <w:bottom w:val="nil"/>
            </w:tcBorders>
          </w:tcPr>
          <w:p w14:paraId="16C55D4C" w14:textId="77777777" w:rsidR="000307C5" w:rsidRDefault="000307C5" w:rsidP="000307C5">
            <w:pPr>
              <w:rPr>
                <w:rFonts w:ascii="ＭＳ ゴシック" w:eastAsia="ＭＳ ゴシック" w:hAnsi="ＭＳ ゴシック"/>
                <w:sz w:val="16"/>
                <w:szCs w:val="16"/>
              </w:rPr>
            </w:pPr>
          </w:p>
        </w:tc>
      </w:tr>
      <w:tr w:rsidR="000307C5" w14:paraId="1FEE6849" w14:textId="77777777" w:rsidTr="000307C5">
        <w:tc>
          <w:tcPr>
            <w:tcW w:w="8408" w:type="dxa"/>
            <w:tcBorders>
              <w:top w:val="nil"/>
              <w:bottom w:val="nil"/>
            </w:tcBorders>
          </w:tcPr>
          <w:p w14:paraId="03885340" w14:textId="77777777" w:rsidR="000307C5" w:rsidRDefault="000307C5" w:rsidP="000307C5">
            <w:pPr>
              <w:rPr>
                <w:rFonts w:ascii="ＭＳ ゴシック" w:eastAsia="ＭＳ ゴシック" w:hAnsi="ＭＳ ゴシック"/>
                <w:b/>
              </w:rPr>
            </w:pPr>
            <w:r>
              <w:rPr>
                <w:rFonts w:ascii="ＭＳ ゴシック" w:eastAsia="ＭＳ ゴシック" w:hAnsi="ＭＳ ゴシック" w:hint="eastAsia"/>
                <w:b/>
              </w:rPr>
              <w:t>６　新たな知見・情報の収集</w:t>
            </w:r>
          </w:p>
        </w:tc>
      </w:tr>
      <w:tr w:rsidR="000307C5" w14:paraId="27200BB1" w14:textId="77777777" w:rsidTr="000307C5">
        <w:tc>
          <w:tcPr>
            <w:tcW w:w="8408" w:type="dxa"/>
            <w:tcBorders>
              <w:top w:val="nil"/>
              <w:bottom w:val="nil"/>
            </w:tcBorders>
          </w:tcPr>
          <w:p w14:paraId="18238E8A"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環境との調和を図るため、家畜の飼養・生産に伴う環境影響などに関する新たな知見と適切な対処</w:t>
            </w:r>
          </w:p>
        </w:tc>
      </w:tr>
      <w:tr w:rsidR="000307C5" w14:paraId="62D6FD0E" w14:textId="77777777" w:rsidTr="000307C5">
        <w:tc>
          <w:tcPr>
            <w:tcW w:w="8408" w:type="dxa"/>
            <w:tcBorders>
              <w:top w:val="nil"/>
            </w:tcBorders>
          </w:tcPr>
          <w:p w14:paraId="136D4AB0" w14:textId="77777777" w:rsidR="000307C5" w:rsidRDefault="000307C5" w:rsidP="000307C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に必要な情報の収集に努める。</w:t>
            </w:r>
          </w:p>
        </w:tc>
      </w:tr>
    </w:tbl>
    <w:p w14:paraId="6CB6E7FC" w14:textId="77777777" w:rsidR="000307C5" w:rsidRDefault="000307C5" w:rsidP="000307C5"/>
    <w:p w14:paraId="3FEEAFF3" w14:textId="77777777" w:rsidR="000307C5" w:rsidRDefault="000307C5" w:rsidP="000307C5">
      <w:pPr>
        <w:rPr>
          <w:sz w:val="16"/>
          <w:szCs w:val="16"/>
        </w:rPr>
      </w:pPr>
    </w:p>
    <w:p w14:paraId="42E0CB6D" w14:textId="77777777" w:rsidR="000307C5" w:rsidRDefault="00300969" w:rsidP="000307C5">
      <w:pPr>
        <w:rPr>
          <w:sz w:val="16"/>
          <w:szCs w:val="16"/>
        </w:rPr>
      </w:pPr>
      <w:r>
        <w:rPr>
          <w:noProof/>
          <w:sz w:val="16"/>
          <w:szCs w:val="16"/>
        </w:rPr>
        <w:pict w14:anchorId="3B38D3B2">
          <v:rect id="_x0000_s1037" style="position:absolute;left:0;text-align:left;margin-left:7.6pt;margin-top:2.6pt;width:34pt;height:34pt;z-index:251654144" filled="f" fillcolor="silver">
            <o:lock v:ext="edit" aspectratio="t"/>
            <v:textbox inset="5.85pt,.7pt,5.85pt,.7pt"/>
          </v:rect>
        </w:pict>
      </w:r>
    </w:p>
    <w:p w14:paraId="44E8FFBF" w14:textId="77777777" w:rsidR="000307C5" w:rsidRDefault="000307C5" w:rsidP="000307C5">
      <w:pPr>
        <w:rPr>
          <w:sz w:val="16"/>
          <w:szCs w:val="16"/>
        </w:rPr>
      </w:pPr>
    </w:p>
    <w:p w14:paraId="39A8127C" w14:textId="77777777" w:rsidR="000307C5" w:rsidRDefault="000307C5" w:rsidP="000307C5">
      <w:pPr>
        <w:rPr>
          <w:sz w:val="16"/>
          <w:szCs w:val="16"/>
        </w:rPr>
      </w:pPr>
    </w:p>
    <w:p w14:paraId="7FD9FF8D" w14:textId="77777777" w:rsidR="000307C5" w:rsidRDefault="000307C5" w:rsidP="000307C5">
      <w:pPr>
        <w:rPr>
          <w:sz w:val="16"/>
          <w:szCs w:val="16"/>
        </w:rPr>
      </w:pPr>
    </w:p>
    <w:p w14:paraId="692DC2A0" w14:textId="77777777" w:rsidR="000307C5" w:rsidRDefault="000307C5" w:rsidP="000307C5">
      <w:pPr>
        <w:rPr>
          <w:sz w:val="16"/>
          <w:szCs w:val="16"/>
        </w:rPr>
      </w:pPr>
    </w:p>
    <w:p w14:paraId="1B905E73" w14:textId="77777777" w:rsidR="000307C5" w:rsidRDefault="000307C5" w:rsidP="000307C5">
      <w:pPr>
        <w:rPr>
          <w:sz w:val="16"/>
          <w:szCs w:val="16"/>
        </w:rPr>
      </w:pPr>
    </w:p>
    <w:p w14:paraId="0C8431F4" w14:textId="77777777" w:rsidR="000307C5" w:rsidRDefault="00300969" w:rsidP="000307C5">
      <w:pPr>
        <w:rPr>
          <w:sz w:val="16"/>
          <w:szCs w:val="16"/>
        </w:rPr>
      </w:pPr>
      <w:r>
        <w:rPr>
          <w:noProof/>
          <w:sz w:val="16"/>
          <w:szCs w:val="16"/>
        </w:rPr>
        <w:pict w14:anchorId="0E1E2C02">
          <v:rect id="_x0000_s1038" style="position:absolute;left:0;text-align:left;margin-left:7.6pt;margin-top:8.35pt;width:34pt;height:34pt;z-index:251655168" filled="f" fillcolor="silver">
            <o:lock v:ext="edit" aspectratio="t"/>
            <v:textbox inset="5.85pt,.7pt,5.85pt,.7pt"/>
          </v:rect>
        </w:pict>
      </w:r>
    </w:p>
    <w:p w14:paraId="467D1EC1" w14:textId="77777777" w:rsidR="000307C5" w:rsidRDefault="000307C5" w:rsidP="000307C5">
      <w:pPr>
        <w:rPr>
          <w:sz w:val="16"/>
          <w:szCs w:val="16"/>
        </w:rPr>
      </w:pPr>
    </w:p>
    <w:p w14:paraId="4911A608" w14:textId="77777777" w:rsidR="000307C5" w:rsidRDefault="000307C5" w:rsidP="000307C5">
      <w:pPr>
        <w:rPr>
          <w:sz w:val="16"/>
          <w:szCs w:val="16"/>
        </w:rPr>
      </w:pPr>
    </w:p>
    <w:p w14:paraId="451B6B87" w14:textId="77777777" w:rsidR="000307C5" w:rsidRDefault="000307C5" w:rsidP="000307C5">
      <w:pPr>
        <w:rPr>
          <w:sz w:val="16"/>
          <w:szCs w:val="16"/>
        </w:rPr>
      </w:pPr>
    </w:p>
    <w:p w14:paraId="47F90617" w14:textId="77777777" w:rsidR="000307C5" w:rsidRDefault="000307C5" w:rsidP="000307C5">
      <w:pPr>
        <w:rPr>
          <w:sz w:val="16"/>
          <w:szCs w:val="16"/>
        </w:rPr>
      </w:pPr>
    </w:p>
    <w:p w14:paraId="376B7759" w14:textId="77777777" w:rsidR="000307C5" w:rsidRDefault="000307C5" w:rsidP="000307C5">
      <w:pPr>
        <w:rPr>
          <w:sz w:val="16"/>
          <w:szCs w:val="16"/>
        </w:rPr>
      </w:pPr>
    </w:p>
    <w:p w14:paraId="30CE66C0" w14:textId="77777777" w:rsidR="000307C5" w:rsidRDefault="000307C5" w:rsidP="000307C5">
      <w:pPr>
        <w:rPr>
          <w:sz w:val="16"/>
          <w:szCs w:val="16"/>
        </w:rPr>
      </w:pPr>
    </w:p>
    <w:p w14:paraId="7948B049" w14:textId="77777777" w:rsidR="000307C5" w:rsidRDefault="000307C5" w:rsidP="000307C5">
      <w:pPr>
        <w:rPr>
          <w:sz w:val="16"/>
          <w:szCs w:val="16"/>
        </w:rPr>
      </w:pPr>
    </w:p>
    <w:p w14:paraId="749FC6DE" w14:textId="77777777" w:rsidR="000307C5" w:rsidRDefault="00300969" w:rsidP="000307C5">
      <w:pPr>
        <w:rPr>
          <w:sz w:val="16"/>
          <w:szCs w:val="16"/>
        </w:rPr>
      </w:pPr>
      <w:r>
        <w:rPr>
          <w:noProof/>
          <w:sz w:val="16"/>
          <w:szCs w:val="16"/>
        </w:rPr>
        <w:pict w14:anchorId="368B021F">
          <v:rect id="_x0000_s1039" style="position:absolute;left:0;text-align:left;margin-left:7.6pt;margin-top:1.45pt;width:34pt;height:34pt;z-index:251656192" filled="f" fillcolor="silver">
            <o:lock v:ext="edit" aspectratio="t"/>
            <v:textbox inset="5.85pt,.7pt,5.85pt,.7pt"/>
          </v:rect>
        </w:pict>
      </w:r>
    </w:p>
    <w:p w14:paraId="309D37A6" w14:textId="77777777" w:rsidR="000307C5" w:rsidRDefault="000307C5" w:rsidP="000307C5">
      <w:pPr>
        <w:rPr>
          <w:sz w:val="16"/>
          <w:szCs w:val="16"/>
        </w:rPr>
      </w:pPr>
    </w:p>
    <w:p w14:paraId="1A6C9EAB" w14:textId="77777777" w:rsidR="000307C5" w:rsidRDefault="000307C5" w:rsidP="000307C5">
      <w:pPr>
        <w:rPr>
          <w:sz w:val="16"/>
          <w:szCs w:val="16"/>
        </w:rPr>
      </w:pPr>
    </w:p>
    <w:p w14:paraId="540FC4E9" w14:textId="77777777" w:rsidR="000307C5" w:rsidRDefault="000307C5" w:rsidP="000307C5">
      <w:pPr>
        <w:rPr>
          <w:sz w:val="16"/>
          <w:szCs w:val="16"/>
        </w:rPr>
      </w:pPr>
    </w:p>
    <w:p w14:paraId="7C0200B9" w14:textId="77777777" w:rsidR="000307C5" w:rsidRDefault="000307C5" w:rsidP="000307C5">
      <w:pPr>
        <w:rPr>
          <w:sz w:val="16"/>
          <w:szCs w:val="16"/>
        </w:rPr>
      </w:pPr>
    </w:p>
    <w:p w14:paraId="73E2B07D" w14:textId="77777777" w:rsidR="000307C5" w:rsidRDefault="000307C5" w:rsidP="000307C5">
      <w:pPr>
        <w:rPr>
          <w:sz w:val="16"/>
          <w:szCs w:val="16"/>
        </w:rPr>
      </w:pPr>
    </w:p>
    <w:p w14:paraId="5A99B234" w14:textId="77777777" w:rsidR="000307C5" w:rsidRDefault="000307C5" w:rsidP="000307C5">
      <w:pPr>
        <w:rPr>
          <w:sz w:val="16"/>
          <w:szCs w:val="16"/>
        </w:rPr>
      </w:pPr>
    </w:p>
    <w:p w14:paraId="55566C66" w14:textId="77777777" w:rsidR="000307C5" w:rsidRDefault="000307C5" w:rsidP="000307C5">
      <w:pPr>
        <w:rPr>
          <w:sz w:val="16"/>
          <w:szCs w:val="16"/>
        </w:rPr>
      </w:pPr>
    </w:p>
    <w:p w14:paraId="6F897A64" w14:textId="77777777" w:rsidR="000307C5" w:rsidRDefault="00300969" w:rsidP="000307C5">
      <w:pPr>
        <w:rPr>
          <w:sz w:val="16"/>
          <w:szCs w:val="16"/>
        </w:rPr>
      </w:pPr>
      <w:r>
        <w:rPr>
          <w:noProof/>
          <w:sz w:val="16"/>
          <w:szCs w:val="16"/>
        </w:rPr>
        <w:pict w14:anchorId="0DDD3E59">
          <v:rect id="_x0000_s1040" style="position:absolute;left:0;text-align:left;margin-left:8.65pt;margin-top:7.2pt;width:34pt;height:34pt;z-index:251657216" filled="f" fillcolor="silver">
            <o:lock v:ext="edit" aspectratio="t"/>
            <v:textbox inset="5.85pt,.7pt,5.85pt,.7pt"/>
          </v:rect>
        </w:pict>
      </w:r>
    </w:p>
    <w:p w14:paraId="08293968" w14:textId="77777777" w:rsidR="000307C5" w:rsidRDefault="000307C5" w:rsidP="000307C5">
      <w:pPr>
        <w:rPr>
          <w:sz w:val="16"/>
          <w:szCs w:val="16"/>
        </w:rPr>
      </w:pPr>
    </w:p>
    <w:p w14:paraId="308BEDA0" w14:textId="77777777" w:rsidR="000307C5" w:rsidRDefault="000307C5" w:rsidP="000307C5">
      <w:pPr>
        <w:rPr>
          <w:sz w:val="16"/>
          <w:szCs w:val="16"/>
        </w:rPr>
      </w:pPr>
    </w:p>
    <w:p w14:paraId="0327D85D" w14:textId="77777777" w:rsidR="000307C5" w:rsidRDefault="000307C5" w:rsidP="000307C5">
      <w:pPr>
        <w:rPr>
          <w:sz w:val="16"/>
          <w:szCs w:val="16"/>
        </w:rPr>
      </w:pPr>
    </w:p>
    <w:p w14:paraId="2AA414F8" w14:textId="77777777" w:rsidR="000307C5" w:rsidRDefault="000307C5" w:rsidP="000307C5">
      <w:pPr>
        <w:rPr>
          <w:sz w:val="16"/>
          <w:szCs w:val="16"/>
        </w:rPr>
      </w:pPr>
    </w:p>
    <w:p w14:paraId="73C535E0" w14:textId="77777777" w:rsidR="000307C5" w:rsidRDefault="000307C5" w:rsidP="000307C5">
      <w:pPr>
        <w:rPr>
          <w:sz w:val="16"/>
          <w:szCs w:val="16"/>
        </w:rPr>
      </w:pPr>
    </w:p>
    <w:p w14:paraId="6FB0C3AA" w14:textId="77777777" w:rsidR="000307C5" w:rsidRDefault="00300969" w:rsidP="000307C5">
      <w:pPr>
        <w:rPr>
          <w:sz w:val="16"/>
          <w:szCs w:val="16"/>
        </w:rPr>
      </w:pPr>
      <w:r>
        <w:rPr>
          <w:noProof/>
          <w:sz w:val="16"/>
          <w:szCs w:val="16"/>
        </w:rPr>
        <w:pict w14:anchorId="7BADA310">
          <v:rect id="_x0000_s1041" style="position:absolute;left:0;text-align:left;margin-left:8.35pt;margin-top:3.95pt;width:34pt;height:34pt;z-index:251658240" filled="f" fillcolor="silver">
            <o:lock v:ext="edit" aspectratio="t"/>
            <v:textbox inset="5.85pt,.7pt,5.85pt,.7pt"/>
          </v:rect>
        </w:pict>
      </w:r>
    </w:p>
    <w:p w14:paraId="6B4F432C" w14:textId="77777777" w:rsidR="000307C5" w:rsidRDefault="000307C5" w:rsidP="000307C5">
      <w:pPr>
        <w:rPr>
          <w:sz w:val="16"/>
          <w:szCs w:val="16"/>
        </w:rPr>
      </w:pPr>
    </w:p>
    <w:p w14:paraId="5AD0D6E9" w14:textId="77777777" w:rsidR="000307C5" w:rsidRDefault="000307C5" w:rsidP="000307C5">
      <w:pPr>
        <w:rPr>
          <w:sz w:val="16"/>
          <w:szCs w:val="16"/>
        </w:rPr>
      </w:pPr>
    </w:p>
    <w:p w14:paraId="18D18017" w14:textId="77777777" w:rsidR="000307C5" w:rsidRDefault="000307C5" w:rsidP="000307C5">
      <w:pPr>
        <w:rPr>
          <w:sz w:val="16"/>
          <w:szCs w:val="16"/>
        </w:rPr>
      </w:pPr>
    </w:p>
    <w:p w14:paraId="382BA4DC" w14:textId="77777777" w:rsidR="000307C5" w:rsidRDefault="000307C5" w:rsidP="000307C5">
      <w:pPr>
        <w:rPr>
          <w:sz w:val="16"/>
          <w:szCs w:val="16"/>
        </w:rPr>
      </w:pPr>
    </w:p>
    <w:p w14:paraId="7D604FBB" w14:textId="77777777" w:rsidR="000307C5" w:rsidRDefault="000307C5" w:rsidP="000307C5">
      <w:pPr>
        <w:rPr>
          <w:sz w:val="16"/>
          <w:szCs w:val="16"/>
        </w:rPr>
      </w:pPr>
    </w:p>
    <w:p w14:paraId="72DFA188" w14:textId="77777777" w:rsidR="000307C5" w:rsidRDefault="00300969" w:rsidP="000307C5">
      <w:pPr>
        <w:rPr>
          <w:sz w:val="16"/>
          <w:szCs w:val="16"/>
        </w:rPr>
      </w:pPr>
      <w:r>
        <w:rPr>
          <w:noProof/>
          <w:sz w:val="16"/>
          <w:szCs w:val="16"/>
        </w:rPr>
        <w:pict w14:anchorId="4F5588A2">
          <v:rect id="_x0000_s1042" style="position:absolute;left:0;text-align:left;margin-left:8.35pt;margin-top:2.6pt;width:34pt;height:34pt;z-index:251659264" filled="f" fillcolor="silver">
            <o:lock v:ext="edit" aspectratio="t"/>
            <v:textbox inset="5.85pt,.7pt,5.85pt,.7pt"/>
          </v:rect>
        </w:pict>
      </w:r>
    </w:p>
    <w:p w14:paraId="0844CE21" w14:textId="77777777" w:rsidR="000307C5" w:rsidRDefault="000307C5" w:rsidP="000307C5">
      <w:pPr>
        <w:rPr>
          <w:sz w:val="16"/>
          <w:szCs w:val="16"/>
        </w:rPr>
      </w:pPr>
    </w:p>
    <w:p w14:paraId="52A474DF" w14:textId="77777777" w:rsidR="000307C5" w:rsidRDefault="000307C5" w:rsidP="000307C5">
      <w:pPr>
        <w:rPr>
          <w:sz w:val="16"/>
          <w:szCs w:val="16"/>
        </w:rPr>
      </w:pPr>
    </w:p>
    <w:p w14:paraId="0A246149" w14:textId="77777777" w:rsidR="000307C5" w:rsidRDefault="000307C5" w:rsidP="000307C5">
      <w:pPr>
        <w:rPr>
          <w:sz w:val="16"/>
          <w:szCs w:val="16"/>
        </w:rPr>
      </w:pPr>
    </w:p>
    <w:p w14:paraId="30B4F1EE" w14:textId="77777777" w:rsidR="000307C5" w:rsidRDefault="000307C5" w:rsidP="000307C5">
      <w:pPr>
        <w:rPr>
          <w:sz w:val="16"/>
          <w:szCs w:val="16"/>
        </w:rPr>
      </w:pPr>
    </w:p>
    <w:p w14:paraId="28B20B15" w14:textId="77777777" w:rsidR="000307C5" w:rsidRDefault="00300969" w:rsidP="000307C5">
      <w:pPr>
        <w:rPr>
          <w:sz w:val="16"/>
          <w:szCs w:val="16"/>
        </w:rPr>
      </w:pPr>
      <w:r>
        <w:rPr>
          <w:noProof/>
          <w:sz w:val="16"/>
          <w:szCs w:val="16"/>
        </w:rPr>
        <w:pict w14:anchorId="1F679761">
          <v:rect id="_x0000_s1044" style="position:absolute;left:0;text-align:left;margin-left:-6pt;margin-top:.25pt;width:474.05pt;height:75.1pt;z-index:251661312" filled="f" fillcolor="silver">
            <v:textbox inset="5.85pt,.7pt,5.85pt,.7pt">
              <w:txbxContent>
                <w:p w14:paraId="1A24772D" w14:textId="77777777" w:rsidR="00597176" w:rsidRDefault="00597176" w:rsidP="000307C5">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【該当がない項目、実行できない項目がある場合等の理由、改善の予定など(記入欄)】</w:t>
                  </w:r>
                </w:p>
              </w:txbxContent>
            </v:textbox>
          </v:rect>
        </w:pict>
      </w:r>
    </w:p>
    <w:p w14:paraId="515FF361" w14:textId="77777777" w:rsidR="000307C5" w:rsidRDefault="000307C5" w:rsidP="000307C5">
      <w:pPr>
        <w:rPr>
          <w:sz w:val="16"/>
          <w:szCs w:val="16"/>
        </w:rPr>
      </w:pPr>
    </w:p>
    <w:p w14:paraId="6908A667" w14:textId="77777777" w:rsidR="000307C5" w:rsidRDefault="000307C5" w:rsidP="000307C5">
      <w:pPr>
        <w:rPr>
          <w:sz w:val="16"/>
          <w:szCs w:val="16"/>
        </w:rPr>
      </w:pPr>
    </w:p>
    <w:p w14:paraId="0BE4B947" w14:textId="77777777" w:rsidR="000307C5" w:rsidRDefault="000307C5" w:rsidP="000307C5">
      <w:pPr>
        <w:rPr>
          <w:sz w:val="16"/>
          <w:szCs w:val="16"/>
        </w:rPr>
      </w:pPr>
    </w:p>
    <w:p w14:paraId="60A495EF" w14:textId="77777777" w:rsidR="000307C5" w:rsidRDefault="000307C5" w:rsidP="000307C5">
      <w:pPr>
        <w:ind w:right="1629"/>
        <w:rPr>
          <w:rFonts w:ascii="ＭＳ ゴシック" w:eastAsia="ＭＳ ゴシック" w:hAnsi="ＭＳ ゴシック"/>
          <w:b/>
          <w:sz w:val="18"/>
          <w:szCs w:val="18"/>
        </w:rPr>
      </w:pPr>
    </w:p>
    <w:p w14:paraId="2518D40F" w14:textId="77777777" w:rsidR="000307C5" w:rsidRDefault="000307C5" w:rsidP="000307C5">
      <w:pPr>
        <w:ind w:right="905"/>
        <w:jc w:val="right"/>
        <w:rPr>
          <w:rFonts w:ascii="ＭＳ ゴシック" w:eastAsia="ＭＳ ゴシック" w:hAnsi="ＭＳ ゴシック"/>
          <w:b/>
          <w:sz w:val="18"/>
          <w:szCs w:val="18"/>
        </w:rPr>
      </w:pPr>
    </w:p>
    <w:p w14:paraId="448BFBF2" w14:textId="77777777" w:rsidR="000307C5" w:rsidRDefault="000307C5" w:rsidP="000307C5">
      <w:pPr>
        <w:ind w:right="905"/>
        <w:jc w:val="right"/>
        <w:rPr>
          <w:rFonts w:ascii="ＭＳ ゴシック" w:eastAsia="ＭＳ ゴシック" w:hAnsi="ＭＳ ゴシック"/>
          <w:b/>
          <w:sz w:val="18"/>
          <w:szCs w:val="18"/>
        </w:rPr>
      </w:pPr>
    </w:p>
    <w:p w14:paraId="494D4B1B" w14:textId="77777777" w:rsidR="003F18EC" w:rsidRDefault="003F18EC" w:rsidP="000307C5">
      <w:pPr>
        <w:ind w:right="905"/>
        <w:jc w:val="right"/>
        <w:rPr>
          <w:rFonts w:ascii="ＭＳ ゴシック" w:eastAsia="ＭＳ ゴシック" w:hAnsi="ＭＳ ゴシック"/>
          <w:b/>
          <w:sz w:val="18"/>
          <w:szCs w:val="18"/>
        </w:rPr>
      </w:pPr>
    </w:p>
    <w:p w14:paraId="35471CA2" w14:textId="77777777" w:rsidR="003F18EC" w:rsidRDefault="003F18EC" w:rsidP="000307C5">
      <w:pPr>
        <w:ind w:right="905"/>
        <w:jc w:val="right"/>
        <w:rPr>
          <w:rFonts w:ascii="ＭＳ ゴシック" w:eastAsia="ＭＳ ゴシック" w:hAnsi="ＭＳ ゴシック"/>
          <w:b/>
          <w:sz w:val="18"/>
          <w:szCs w:val="18"/>
        </w:rPr>
      </w:pPr>
    </w:p>
    <w:p w14:paraId="042233D2" w14:textId="77777777" w:rsidR="000307C5" w:rsidRDefault="000307C5" w:rsidP="000307C5">
      <w:pPr>
        <w:ind w:right="905"/>
        <w:jc w:val="right"/>
        <w:rPr>
          <w:rFonts w:ascii="ＭＳ ゴシック" w:eastAsia="ＭＳ ゴシック" w:hAnsi="ＭＳ ゴシック"/>
          <w:b/>
          <w:sz w:val="18"/>
          <w:szCs w:val="18"/>
        </w:rPr>
      </w:pPr>
      <w:r>
        <w:rPr>
          <w:rFonts w:ascii="ＭＳ ゴシック" w:eastAsia="ＭＳ ゴシック" w:hAnsi="ＭＳ ゴシック" w:hint="eastAsia"/>
          <w:b/>
          <w:sz w:val="18"/>
          <w:szCs w:val="18"/>
        </w:rPr>
        <w:t>点検日　　　　　年　　月　　日</w:t>
      </w:r>
    </w:p>
    <w:p w14:paraId="2F2A9EE9" w14:textId="77777777" w:rsidR="000307C5" w:rsidRDefault="000307C5" w:rsidP="000307C5">
      <w:pPr>
        <w:ind w:right="362"/>
        <w:jc w:val="right"/>
        <w:rPr>
          <w:rFonts w:ascii="ＭＳ ゴシック" w:eastAsia="ＭＳ ゴシック" w:hAnsi="ＭＳ ゴシック"/>
          <w:b/>
          <w:sz w:val="18"/>
          <w:szCs w:val="18"/>
        </w:rPr>
      </w:pPr>
    </w:p>
    <w:p w14:paraId="111F1D26" w14:textId="77777777" w:rsidR="000307C5" w:rsidRDefault="000307C5" w:rsidP="000307C5">
      <w:pPr>
        <w:ind w:right="362"/>
        <w:jc w:val="right"/>
        <w:rPr>
          <w:rFonts w:ascii="ＭＳ ゴシック" w:eastAsia="ＭＳ ゴシック" w:hAnsi="ＭＳ ゴシック"/>
          <w:b/>
          <w:sz w:val="18"/>
          <w:szCs w:val="18"/>
        </w:rPr>
      </w:pPr>
      <w:bookmarkStart w:id="0" w:name="_GoBack"/>
      <w:bookmarkEnd w:id="0"/>
      <w:r>
        <w:rPr>
          <w:rFonts w:ascii="ＭＳ ゴシック" w:eastAsia="ＭＳ ゴシック" w:hAnsi="ＭＳ ゴシック" w:hint="eastAsia"/>
          <w:b/>
          <w:sz w:val="18"/>
          <w:szCs w:val="18"/>
        </w:rPr>
        <w:t>点検者　　　　　　　　　　　　　　印</w:t>
      </w:r>
    </w:p>
    <w:sectPr w:rsidR="000307C5" w:rsidSect="00300969">
      <w:footerReference w:type="even" r:id="rId7"/>
      <w:footerReference w:type="default" r:id="rId8"/>
      <w:pgSz w:w="11906" w:h="16838" w:code="9"/>
      <w:pgMar w:top="1134" w:right="1134" w:bottom="1134" w:left="1134" w:header="851" w:footer="992" w:gutter="0"/>
      <w:pgNumType w:start="26"/>
      <w:cols w:space="425"/>
      <w:docGrid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B688" w14:textId="77777777" w:rsidR="00BF67C6" w:rsidRDefault="00BF67C6">
      <w:r>
        <w:separator/>
      </w:r>
    </w:p>
  </w:endnote>
  <w:endnote w:type="continuationSeparator" w:id="0">
    <w:p w14:paraId="0A1D67DB" w14:textId="77777777" w:rsidR="00BF67C6" w:rsidRDefault="00BF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B848" w14:textId="77777777" w:rsidR="00597176" w:rsidRDefault="0059717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84283A4" w14:textId="77777777" w:rsidR="00597176" w:rsidRDefault="005971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C86C" w14:textId="77777777" w:rsidR="00300969" w:rsidRDefault="00300969">
    <w:pPr>
      <w:pStyle w:val="a4"/>
      <w:jc w:val="center"/>
    </w:pPr>
    <w:r>
      <w:fldChar w:fldCharType="begin"/>
    </w:r>
    <w:r>
      <w:instrText>PAGE   \* MERGEFORMAT</w:instrText>
    </w:r>
    <w:r>
      <w:fldChar w:fldCharType="separate"/>
    </w:r>
    <w:r>
      <w:rPr>
        <w:lang w:val="ja-JP"/>
      </w:rPr>
      <w:t>2</w:t>
    </w:r>
    <w:r>
      <w:fldChar w:fldCharType="end"/>
    </w:r>
  </w:p>
  <w:p w14:paraId="57EDD443" w14:textId="77777777" w:rsidR="00022CBB" w:rsidRDefault="00022C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269F" w14:textId="77777777" w:rsidR="00BF67C6" w:rsidRDefault="00BF67C6">
      <w:r>
        <w:separator/>
      </w:r>
    </w:p>
  </w:footnote>
  <w:footnote w:type="continuationSeparator" w:id="0">
    <w:p w14:paraId="524D96CC" w14:textId="77777777" w:rsidR="00BF67C6" w:rsidRDefault="00BF6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61519"/>
    <w:multiLevelType w:val="hybridMultilevel"/>
    <w:tmpl w:val="67302A80"/>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9A86FF2"/>
    <w:multiLevelType w:val="hybridMultilevel"/>
    <w:tmpl w:val="67B85D6A"/>
    <w:lvl w:ilvl="0" w:tplc="1D047BA8">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4B5"/>
    <w:rsid w:val="00022CBB"/>
    <w:rsid w:val="000307C5"/>
    <w:rsid w:val="00066CAC"/>
    <w:rsid w:val="000A435A"/>
    <w:rsid w:val="000D0EE1"/>
    <w:rsid w:val="000F0D17"/>
    <w:rsid w:val="000F2D58"/>
    <w:rsid w:val="000F6C6E"/>
    <w:rsid w:val="00105923"/>
    <w:rsid w:val="00145E3B"/>
    <w:rsid w:val="001806B7"/>
    <w:rsid w:val="00183350"/>
    <w:rsid w:val="001A72AB"/>
    <w:rsid w:val="001D02C1"/>
    <w:rsid w:val="00211142"/>
    <w:rsid w:val="00217CF6"/>
    <w:rsid w:val="0024516A"/>
    <w:rsid w:val="00251564"/>
    <w:rsid w:val="00263A71"/>
    <w:rsid w:val="002643B0"/>
    <w:rsid w:val="00265DC9"/>
    <w:rsid w:val="002A721E"/>
    <w:rsid w:val="002C3856"/>
    <w:rsid w:val="002C7C19"/>
    <w:rsid w:val="002D3868"/>
    <w:rsid w:val="002D7E12"/>
    <w:rsid w:val="002F1633"/>
    <w:rsid w:val="00300969"/>
    <w:rsid w:val="0031091F"/>
    <w:rsid w:val="003314BE"/>
    <w:rsid w:val="00352C2A"/>
    <w:rsid w:val="00364EE7"/>
    <w:rsid w:val="00375D64"/>
    <w:rsid w:val="00385EB6"/>
    <w:rsid w:val="003E2768"/>
    <w:rsid w:val="003E73BC"/>
    <w:rsid w:val="003F18EC"/>
    <w:rsid w:val="00401C86"/>
    <w:rsid w:val="00404B64"/>
    <w:rsid w:val="0041108D"/>
    <w:rsid w:val="00431210"/>
    <w:rsid w:val="00453767"/>
    <w:rsid w:val="00464CDE"/>
    <w:rsid w:val="0048743F"/>
    <w:rsid w:val="004879B7"/>
    <w:rsid w:val="004A4BBA"/>
    <w:rsid w:val="004C3EFE"/>
    <w:rsid w:val="005428D8"/>
    <w:rsid w:val="00560E0C"/>
    <w:rsid w:val="00583EF3"/>
    <w:rsid w:val="00597176"/>
    <w:rsid w:val="005D6FBC"/>
    <w:rsid w:val="005F23BA"/>
    <w:rsid w:val="005F37D3"/>
    <w:rsid w:val="0061260E"/>
    <w:rsid w:val="00621BD7"/>
    <w:rsid w:val="00642D6D"/>
    <w:rsid w:val="006854FE"/>
    <w:rsid w:val="00691917"/>
    <w:rsid w:val="006C243C"/>
    <w:rsid w:val="006C4063"/>
    <w:rsid w:val="006C4AAA"/>
    <w:rsid w:val="006D4643"/>
    <w:rsid w:val="006F088F"/>
    <w:rsid w:val="007071C1"/>
    <w:rsid w:val="007217C0"/>
    <w:rsid w:val="0073698B"/>
    <w:rsid w:val="00753545"/>
    <w:rsid w:val="00774625"/>
    <w:rsid w:val="00776B01"/>
    <w:rsid w:val="007915D6"/>
    <w:rsid w:val="007A0E03"/>
    <w:rsid w:val="00824489"/>
    <w:rsid w:val="00840667"/>
    <w:rsid w:val="00850506"/>
    <w:rsid w:val="00852E4C"/>
    <w:rsid w:val="00856855"/>
    <w:rsid w:val="008604B5"/>
    <w:rsid w:val="00870617"/>
    <w:rsid w:val="00874750"/>
    <w:rsid w:val="008765D4"/>
    <w:rsid w:val="008768EA"/>
    <w:rsid w:val="00882E98"/>
    <w:rsid w:val="008B4067"/>
    <w:rsid w:val="008E5540"/>
    <w:rsid w:val="00927E71"/>
    <w:rsid w:val="00945FF4"/>
    <w:rsid w:val="0095403D"/>
    <w:rsid w:val="009609DF"/>
    <w:rsid w:val="00985E87"/>
    <w:rsid w:val="009A4D9E"/>
    <w:rsid w:val="009C1EFA"/>
    <w:rsid w:val="009D70C8"/>
    <w:rsid w:val="009F7C7F"/>
    <w:rsid w:val="00A0705C"/>
    <w:rsid w:val="00A53093"/>
    <w:rsid w:val="00A66633"/>
    <w:rsid w:val="00AB0740"/>
    <w:rsid w:val="00AC0843"/>
    <w:rsid w:val="00AE59EE"/>
    <w:rsid w:val="00B11486"/>
    <w:rsid w:val="00B267B1"/>
    <w:rsid w:val="00B26E1A"/>
    <w:rsid w:val="00B332FE"/>
    <w:rsid w:val="00B3425A"/>
    <w:rsid w:val="00B47160"/>
    <w:rsid w:val="00B5251A"/>
    <w:rsid w:val="00B877AF"/>
    <w:rsid w:val="00BB03DB"/>
    <w:rsid w:val="00BB6D23"/>
    <w:rsid w:val="00BE62C9"/>
    <w:rsid w:val="00BF016E"/>
    <w:rsid w:val="00BF67C6"/>
    <w:rsid w:val="00BF6820"/>
    <w:rsid w:val="00C05458"/>
    <w:rsid w:val="00C268F4"/>
    <w:rsid w:val="00C279F0"/>
    <w:rsid w:val="00C3411E"/>
    <w:rsid w:val="00C95C90"/>
    <w:rsid w:val="00CB5FFF"/>
    <w:rsid w:val="00CD208F"/>
    <w:rsid w:val="00CE3F67"/>
    <w:rsid w:val="00D05334"/>
    <w:rsid w:val="00D47052"/>
    <w:rsid w:val="00D82418"/>
    <w:rsid w:val="00D83D37"/>
    <w:rsid w:val="00DA311E"/>
    <w:rsid w:val="00DB1794"/>
    <w:rsid w:val="00DB2559"/>
    <w:rsid w:val="00DC59ED"/>
    <w:rsid w:val="00DE0C30"/>
    <w:rsid w:val="00E97C09"/>
    <w:rsid w:val="00EB7067"/>
    <w:rsid w:val="00EF197E"/>
    <w:rsid w:val="00F02D83"/>
    <w:rsid w:val="00F0456E"/>
    <w:rsid w:val="00F07C4D"/>
    <w:rsid w:val="00F25DCC"/>
    <w:rsid w:val="00F71917"/>
    <w:rsid w:val="00F71B8C"/>
    <w:rsid w:val="00F744A1"/>
    <w:rsid w:val="00F85124"/>
    <w:rsid w:val="00FA4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1097975"/>
  <w15:chartTrackingRefBased/>
  <w15:docId w15:val="{0F582513-B352-4C31-B591-43376C41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rsid w:val="00251564"/>
    <w:pPr>
      <w:jc w:val="center"/>
    </w:pPr>
  </w:style>
  <w:style w:type="paragraph" w:styleId="a9">
    <w:name w:val="Closing"/>
    <w:basedOn w:val="a"/>
    <w:link w:val="aa"/>
    <w:rsid w:val="00251564"/>
    <w:pPr>
      <w:jc w:val="right"/>
    </w:pPr>
  </w:style>
  <w:style w:type="table" w:styleId="ab">
    <w:name w:val="Table Grid"/>
    <w:basedOn w:val="a1"/>
    <w:rsid w:val="001D02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401C86"/>
    <w:pPr>
      <w:tabs>
        <w:tab w:val="center" w:pos="4252"/>
        <w:tab w:val="right" w:pos="8504"/>
      </w:tabs>
      <w:snapToGrid w:val="0"/>
    </w:pPr>
  </w:style>
  <w:style w:type="paragraph" w:styleId="ad">
    <w:name w:val="Balloon Text"/>
    <w:basedOn w:val="a"/>
    <w:semiHidden/>
    <w:rsid w:val="00DC59ED"/>
    <w:rPr>
      <w:rFonts w:ascii="Arial" w:eastAsia="ＭＳ ゴシック" w:hAnsi="Arial"/>
      <w:sz w:val="18"/>
      <w:szCs w:val="18"/>
    </w:rPr>
  </w:style>
  <w:style w:type="character" w:customStyle="1" w:styleId="a8">
    <w:name w:val="記 (文字)"/>
    <w:link w:val="a7"/>
    <w:rsid w:val="004879B7"/>
    <w:rPr>
      <w:kern w:val="2"/>
      <w:sz w:val="21"/>
      <w:szCs w:val="21"/>
    </w:rPr>
  </w:style>
  <w:style w:type="character" w:customStyle="1" w:styleId="aa">
    <w:name w:val="結語 (文字)"/>
    <w:link w:val="a9"/>
    <w:rsid w:val="004879B7"/>
    <w:rPr>
      <w:kern w:val="2"/>
      <w:sz w:val="21"/>
      <w:szCs w:val="21"/>
    </w:rPr>
  </w:style>
  <w:style w:type="character" w:customStyle="1" w:styleId="a5">
    <w:name w:val="フッター (文字)"/>
    <w:link w:val="a4"/>
    <w:uiPriority w:val="99"/>
    <w:rsid w:val="004879B7"/>
    <w:rPr>
      <w:kern w:val="2"/>
      <w:sz w:val="21"/>
      <w:szCs w:val="21"/>
    </w:rPr>
  </w:style>
  <w:style w:type="paragraph" w:customStyle="1" w:styleId="ae">
    <w:name w:val="１"/>
    <w:basedOn w:val="a"/>
    <w:rsid w:val="004879B7"/>
    <w:pPr>
      <w:tabs>
        <w:tab w:val="left" w:pos="720"/>
      </w:tabs>
    </w:pPr>
    <w:rPr>
      <w:rFonts w:asci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別紙様式第１２号</vt:lpstr>
      <vt:lpstr>別紙様式第１２号</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別紙様式第１２号</dc:title>
  <dc:subject/>
  <dc:creator>大川康博</dc:creator>
  <cp:keywords/>
  <cp:lastModifiedBy>畜産会＿畜特１</cp:lastModifiedBy>
  <cp:revision>3</cp:revision>
  <cp:lastPrinted>2020-01-11T02:47:00Z</cp:lastPrinted>
  <dcterms:created xsi:type="dcterms:W3CDTF">2020-01-11T02:48:00Z</dcterms:created>
  <dcterms:modified xsi:type="dcterms:W3CDTF">2020-01-11T02:52:00Z</dcterms:modified>
</cp:coreProperties>
</file>